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Executive Summary: Mental Health Toolkit</w:t>
      </w:r>
    </w:p>
    <w:p>
      <w:pPr>
        <w:pStyle w:val="Body"/>
        <w:jc w:val="center"/>
        <w:rPr>
          <w:rFonts w:ascii="Times New Roman" w:cs="Times New Roman" w:hAnsi="Times New Roman" w:eastAsia="Times New Roman"/>
          <w:b w:val="1"/>
          <w:bCs w:val="1"/>
        </w:rPr>
      </w:pPr>
      <w:r>
        <w:rPr>
          <w:rFonts w:ascii="Times New Roman" w:hAnsi="Times New Roman"/>
          <w:b w:val="1"/>
          <w:bCs w:val="1"/>
          <w:rtl w:val="0"/>
          <w:lang w:val="en-US"/>
        </w:rPr>
        <w:t>Targeted Problem</w:t>
        <w:tab/>
      </w:r>
    </w:p>
    <w:p>
      <w:pPr>
        <w:pStyle w:val="Body"/>
        <w:jc w:val="left"/>
        <w:rPr>
          <w:rFonts w:ascii="Times New Roman" w:cs="Times New Roman" w:hAnsi="Times New Roman" w:eastAsia="Times New Roman"/>
        </w:rPr>
      </w:pPr>
      <w:r>
        <w:rPr>
          <w:rFonts w:ascii="Times New Roman" w:cs="Times New Roman" w:hAnsi="Times New Roman" w:eastAsia="Times New Roman"/>
          <w:rtl w:val="0"/>
        </w:rPr>
        <w:tab/>
        <w:t xml:space="preserve">This summary pertains to the mental health concerns of children and the young adult general populations. Healthy coping mechanisms are prevalent tools that may be used to monitor emotional hardships experienced on a daily basis. Acting as an accent to counseling and medication, coping mechanisms that are specifically catered to the improvement. Many cases of suicide and self harm are the result of untreated and/or neglected management of mental health. Many suffers feel that they are alone and for this reason, act destructively to escape from pain and the pressing feelings of loneliness. The mental toolkit therefore, seeks to provide additional benefits to individuals with mental health challenges. The root causes for mental illness range from genetic preconditions to environmental trauma. The toolkit filters through these causes by offering a level of compassion for whatever the individual is going through, regardless of their specific situations. In order to validate the needs of the mental health population, I propose the innovation of a mental health toolkit that is tailored to the individual health-related needs of children and young adults. Toolkits are adapted to accommodate mental health concerns including complications that pertain to mental disorders, diet and exercise, relaxation, and stress management. </w:t>
      </w:r>
    </w:p>
    <w:p>
      <w:pPr>
        <w:pStyle w:val="Body"/>
        <w:jc w:val="center"/>
        <w:rPr>
          <w:rFonts w:ascii="Times New Roman" w:cs="Times New Roman" w:hAnsi="Times New Roman" w:eastAsia="Times New Roman"/>
          <w:b w:val="1"/>
          <w:bCs w:val="1"/>
        </w:rPr>
      </w:pPr>
      <w:r>
        <w:rPr>
          <w:rFonts w:ascii="Times New Roman" w:hAnsi="Times New Roman"/>
          <w:b w:val="1"/>
          <w:bCs w:val="1"/>
          <w:rtl w:val="0"/>
          <w:lang w:val="en-US"/>
        </w:rPr>
        <w:t>What We Offer</w:t>
      </w:r>
    </w:p>
    <w:p>
      <w:pPr>
        <w:pStyle w:val="Body"/>
        <w:jc w:val="left"/>
        <w:rPr>
          <w:rFonts w:ascii="Times New Roman" w:cs="Times New Roman" w:hAnsi="Times New Roman" w:eastAsia="Times New Roman"/>
        </w:rPr>
      </w:pPr>
      <w:r>
        <w:rPr>
          <w:rFonts w:ascii="Times New Roman" w:cs="Times New Roman" w:hAnsi="Times New Roman" w:eastAsia="Times New Roman"/>
          <w:rtl w:val="0"/>
        </w:rPr>
        <w:tab/>
        <w:t xml:space="preserve">Mental health disorders are a global concern. The use of constructive coping mechanisms in the mental health community such as the proposed mental health toolkit offered here, have the potential to accommodate the vast market size that makes up the mental health concerns of the population. Many individuals suffering from mental health concerns are jaded as a result of failed attempts at therapy and medication. The toolkit is designed to give children, teens, and young adults a second chance at hope for mental health management and recovery from mental illness. Unlike conventional methods, the toolkit assists individual needs in an approachable, easy to understand way. We provide individualized kits that include stress management items including but not limited to: stuffed animals, candles and essential oils for aromatherapy, journals, classical music, and self-help books. In addition to the items, the kits contain letters of encouragement that are addressed to the individual kit owner directly. This personalized approach adds a sense of closeness between the mental health patient and the toolkit creators, which greatly contributes to the sense of community for both parties. The level of instant gratification that is given to the recipient upon use of the toolkit will appreciate the level of support that is being offered by the materials the toolkit itself contains. The mental health toolkit allows for a comprehensive overview of individual needs, and can even serve as a trusted companion for those without reliable support systems. The toolkit may be distributed through means including of selling the toolkits directly to therapist s and psychologist who may be of assistance in explaining the toolkits benefits to patients and clients. Secondly the toolkits can be distributed online directly to customers. </w:t>
      </w:r>
    </w:p>
    <w:p>
      <w:pPr>
        <w:pStyle w:val="Body"/>
        <w:jc w:val="center"/>
        <w:rPr>
          <w:rFonts w:ascii="Times New Roman" w:cs="Times New Roman" w:hAnsi="Times New Roman" w:eastAsia="Times New Roman"/>
          <w:b w:val="1"/>
          <w:bCs w:val="1"/>
        </w:rPr>
      </w:pPr>
      <w:r>
        <w:rPr>
          <w:rFonts w:ascii="Times New Roman" w:cs="Times New Roman" w:hAnsi="Times New Roman" w:eastAsia="Times New Roman"/>
          <w:b w:val="1"/>
          <w:bCs w:val="1"/>
          <w:rtl w:val="0"/>
        </w:rPr>
        <w:tab/>
        <w:t>Target Market</w:t>
      </w:r>
    </w:p>
    <w:p>
      <w:pPr>
        <w:pStyle w:val="Body"/>
        <w:jc w:val="left"/>
        <w:rPr>
          <w:rFonts w:ascii="Times New Roman" w:cs="Times New Roman" w:hAnsi="Times New Roman" w:eastAsia="Times New Roman"/>
        </w:rPr>
      </w:pPr>
      <w:r>
        <w:rPr>
          <w:rFonts w:ascii="Times New Roman" w:cs="Times New Roman" w:hAnsi="Times New Roman" w:eastAsia="Times New Roman"/>
          <w:rtl w:val="0"/>
        </w:rPr>
        <w:tab/>
        <w:t xml:space="preserve">Our primary target market consists of individuals with mental health concerns aged twelve through eighteen. For the time being, the mental health toolkit will be distributed exclusively to individuals living inside the Unites Sates. </w:t>
      </w:r>
    </w:p>
    <w:p>
      <w:pPr>
        <w:pStyle w:val="Body"/>
        <w:jc w:val="center"/>
        <w:rPr>
          <w:rFonts w:ascii="Times New Roman" w:cs="Times New Roman" w:hAnsi="Times New Roman" w:eastAsia="Times New Roman"/>
          <w:b w:val="1"/>
          <w:bCs w:val="1"/>
        </w:rPr>
      </w:pPr>
      <w:r>
        <w:rPr>
          <w:rFonts w:ascii="Times New Roman" w:hAnsi="Times New Roman"/>
          <w:b w:val="1"/>
          <w:bCs w:val="1"/>
          <w:rtl w:val="0"/>
          <w:lang w:val="en-US"/>
        </w:rPr>
        <w:t xml:space="preserve">Size or Scale </w:t>
      </w:r>
    </w:p>
    <w:p>
      <w:pPr>
        <w:pStyle w:val="Body"/>
        <w:jc w:val="left"/>
        <w:rPr>
          <w:rFonts w:ascii="Times New Roman" w:cs="Times New Roman" w:hAnsi="Times New Roman" w:eastAsia="Times New Roman"/>
        </w:rPr>
      </w:pPr>
      <w:r>
        <w:rPr>
          <w:rFonts w:ascii="Times New Roman" w:cs="Times New Roman" w:hAnsi="Times New Roman" w:eastAsia="Times New Roman"/>
          <w:rtl w:val="0"/>
        </w:rPr>
        <w:tab/>
        <w:t xml:space="preserve">Initially, we plan on hosting our toolkit operations via a single location that is located in the general Southern California area. It is our hope that in the near future the locations will extend and open up in different areas, as we ultimately work to become a multi-locational company. We would like to one up locations across the United States as a means of assisting the mental health populations on each side of the country. </w:t>
      </w:r>
    </w:p>
    <w:p>
      <w:pPr>
        <w:pStyle w:val="Body"/>
        <w:jc w:val="center"/>
        <w:rPr>
          <w:rFonts w:ascii="Times New Roman" w:cs="Times New Roman" w:hAnsi="Times New Roman" w:eastAsia="Times New Roman"/>
          <w:b w:val="1"/>
          <w:bCs w:val="1"/>
        </w:rPr>
      </w:pPr>
      <w:r>
        <w:rPr>
          <w:rFonts w:ascii="Times New Roman" w:hAnsi="Times New Roman"/>
          <w:b w:val="1"/>
          <w:bCs w:val="1"/>
          <w:rtl w:val="0"/>
          <w:lang w:val="en-US"/>
        </w:rPr>
        <w:t>Other Critical Details</w:t>
      </w:r>
    </w:p>
    <w:p>
      <w:pPr>
        <w:pStyle w:val="Body"/>
        <w:jc w:val="left"/>
      </w:pPr>
      <w:r>
        <w:rPr>
          <w:rFonts w:ascii="Times New Roman" w:cs="Times New Roman" w:hAnsi="Times New Roman" w:eastAsia="Times New Roman"/>
          <w:rtl w:val="0"/>
        </w:rPr>
        <w:tab/>
        <w:t xml:space="preserve">Prior to the distribution of our toolkits, the kits will be evaluated by a combination of different mental health professionals. These professionals include psychologists, social workers, and life coaches and mental health nurses, who have optimal experience handling mental health cases specific to children, teens, and young adults.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Fonts w:ascii="Times New Roman" w:hAnsi="Times New Roman"/>
      </w:rPr>
      <w:tab/>
      <w:tab/>
    </w:r>
    <w:r>
      <w:rPr>
        <w:rFonts w:ascii="Times New Roman" w:hAnsi="Times New Roman"/>
      </w:rPr>
      <w:fldChar w:fldCharType="begin" w:fldLock="0"/>
    </w:r>
    <w:r>
      <w:rPr>
        <w:rFonts w:ascii="Times New Roman" w:hAnsi="Times New Roman"/>
      </w:rPr>
      <w:instrText xml:space="preserve"> PAGE </w:instrText>
    </w:r>
    <w:r>
      <w:rPr>
        <w:rFonts w:ascii="Times New Roman" w:hAnsi="Times New Roman"/>
      </w:rPr>
      <w:fldChar w:fldCharType="separate" w:fldLock="0"/>
    </w:r>
    <w:r>
      <w:rPr>
        <w:rFonts w:ascii="Times New Roman" w:hAnsi="Times New Roman"/>
      </w:rPr>
      <w:t>1</w:t>
    </w:r>
    <w:r>
      <w:rPr>
        <w:rFonts w:ascii="Times New Roman" w:hAnsi="Times New Roman"/>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